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F294B" w:rsidRPr="00BF294B" w:rsidTr="00BF294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F294B" w:rsidRPr="00BF294B" w:rsidRDefault="00BF294B" w:rsidP="00BF294B">
            <w:pPr>
              <w:spacing w:after="0" w:line="240" w:lineRule="atLeast"/>
              <w:rPr>
                <w:rFonts w:ascii="Verdana" w:eastAsia="Times New Roman" w:hAnsi="Verdana" w:cs="Times New Roman"/>
                <w:sz w:val="20"/>
                <w:szCs w:val="20"/>
                <w:lang w:eastAsia="tr-TR"/>
              </w:rPr>
            </w:pPr>
            <w:r w:rsidRPr="00BF294B">
              <w:rPr>
                <w:rFonts w:ascii="Verdana" w:eastAsia="Times New Roman" w:hAnsi="Verdana" w:cs="Arial"/>
                <w:sz w:val="20"/>
                <w:szCs w:val="20"/>
                <w:lang w:eastAsia="tr-TR"/>
              </w:rPr>
              <w:t>3 Mayıs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F294B" w:rsidRPr="00BF294B" w:rsidRDefault="00BF294B" w:rsidP="00BF294B">
            <w:pPr>
              <w:spacing w:after="0" w:line="240" w:lineRule="atLeast"/>
              <w:jc w:val="center"/>
              <w:rPr>
                <w:rFonts w:ascii="Verdana" w:eastAsia="Times New Roman" w:hAnsi="Verdana" w:cs="Times New Roman"/>
                <w:sz w:val="20"/>
                <w:szCs w:val="20"/>
                <w:lang w:eastAsia="tr-TR"/>
              </w:rPr>
            </w:pPr>
            <w:r w:rsidRPr="00BF294B">
              <w:rPr>
                <w:rFonts w:ascii="Verdana" w:eastAsia="Times New Roman" w:hAnsi="Verdana" w:cs="Times New Roman"/>
                <w:b/>
                <w:bCs/>
                <w:color w:val="800080"/>
                <w:sz w:val="20"/>
                <w:szCs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F294B" w:rsidRPr="00BF294B" w:rsidRDefault="00BF294B" w:rsidP="00BF294B">
            <w:pPr>
              <w:spacing w:before="100" w:beforeAutospacing="1" w:after="100" w:afterAutospacing="1" w:line="240" w:lineRule="auto"/>
              <w:jc w:val="right"/>
              <w:rPr>
                <w:rFonts w:ascii="Verdana" w:eastAsia="Times New Roman" w:hAnsi="Verdana" w:cs="Times New Roman"/>
                <w:sz w:val="20"/>
                <w:szCs w:val="20"/>
                <w:lang w:eastAsia="tr-TR"/>
              </w:rPr>
            </w:pPr>
            <w:proofErr w:type="gramStart"/>
            <w:r w:rsidRPr="00BF294B">
              <w:rPr>
                <w:rFonts w:ascii="Verdana" w:eastAsia="Times New Roman" w:hAnsi="Verdana" w:cs="Arial"/>
                <w:sz w:val="20"/>
                <w:szCs w:val="20"/>
                <w:lang w:eastAsia="tr-TR"/>
              </w:rPr>
              <w:t>Sayı : 28989</w:t>
            </w:r>
            <w:proofErr w:type="gramEnd"/>
          </w:p>
        </w:tc>
      </w:tr>
      <w:tr w:rsidR="00BF294B" w:rsidRPr="00BF294B" w:rsidTr="00BF294B">
        <w:trPr>
          <w:trHeight w:val="480"/>
        </w:trPr>
        <w:tc>
          <w:tcPr>
            <w:tcW w:w="8789" w:type="dxa"/>
            <w:gridSpan w:val="3"/>
            <w:tcMar>
              <w:top w:w="0" w:type="dxa"/>
              <w:left w:w="108" w:type="dxa"/>
              <w:bottom w:w="0" w:type="dxa"/>
              <w:right w:w="108" w:type="dxa"/>
            </w:tcMar>
            <w:vAlign w:val="center"/>
            <w:hideMark/>
          </w:tcPr>
          <w:p w:rsidR="00BF294B" w:rsidRPr="00BF294B" w:rsidRDefault="00BF294B" w:rsidP="00BF294B">
            <w:pPr>
              <w:spacing w:before="100" w:beforeAutospacing="1" w:after="100" w:afterAutospacing="1" w:line="240" w:lineRule="auto"/>
              <w:jc w:val="center"/>
              <w:rPr>
                <w:rFonts w:ascii="Verdana" w:eastAsia="Times New Roman" w:hAnsi="Verdana" w:cs="Times New Roman"/>
                <w:sz w:val="20"/>
                <w:szCs w:val="20"/>
                <w:lang w:eastAsia="tr-TR"/>
              </w:rPr>
            </w:pPr>
          </w:p>
        </w:tc>
      </w:tr>
      <w:tr w:rsidR="00BF294B" w:rsidRPr="00BF294B" w:rsidTr="00BF294B">
        <w:trPr>
          <w:trHeight w:val="480"/>
        </w:trPr>
        <w:tc>
          <w:tcPr>
            <w:tcW w:w="8789" w:type="dxa"/>
            <w:gridSpan w:val="3"/>
            <w:tcMar>
              <w:top w:w="0" w:type="dxa"/>
              <w:left w:w="108" w:type="dxa"/>
              <w:bottom w:w="0" w:type="dxa"/>
              <w:right w:w="108" w:type="dxa"/>
            </w:tcMar>
            <w:vAlign w:val="center"/>
            <w:hideMark/>
          </w:tcPr>
          <w:p w:rsidR="00BF294B" w:rsidRPr="00BF294B" w:rsidRDefault="00BF294B" w:rsidP="00BF294B">
            <w:pPr>
              <w:spacing w:before="100" w:beforeAutospacing="1" w:after="100" w:afterAutospacing="1" w:line="240" w:lineRule="atLeast"/>
              <w:jc w:val="center"/>
              <w:rPr>
                <w:rFonts w:ascii="Verdana" w:eastAsia="Times New Roman" w:hAnsi="Verdana" w:cs="Times New Roman"/>
                <w:color w:val="FF0000"/>
                <w:sz w:val="20"/>
                <w:szCs w:val="20"/>
                <w:lang w:eastAsia="tr-TR"/>
              </w:rPr>
            </w:pPr>
            <w:r w:rsidRPr="00BF294B">
              <w:rPr>
                <w:rFonts w:ascii="Verdana" w:eastAsia="Times New Roman" w:hAnsi="Verdana" w:cs="Times New Roman"/>
                <w:b/>
                <w:bCs/>
                <w:color w:val="FF0000"/>
                <w:sz w:val="20"/>
                <w:szCs w:val="20"/>
                <w:lang w:eastAsia="tr-TR"/>
              </w:rPr>
              <w:t>İŞ SAĞLIĞI VE GÜVENLİĞİ HİZMETLERİNİN</w:t>
            </w:r>
          </w:p>
          <w:p w:rsidR="00BF294B" w:rsidRPr="00BF294B" w:rsidRDefault="00BF294B" w:rsidP="00BF294B">
            <w:pPr>
              <w:spacing w:before="100" w:beforeAutospacing="1" w:after="100" w:afterAutospacing="1" w:line="240" w:lineRule="atLeast"/>
              <w:jc w:val="center"/>
              <w:rPr>
                <w:rFonts w:ascii="Verdana" w:eastAsia="Times New Roman" w:hAnsi="Verdana" w:cs="Times New Roman"/>
                <w:color w:val="FF0000"/>
                <w:sz w:val="20"/>
                <w:szCs w:val="20"/>
                <w:lang w:eastAsia="tr-TR"/>
              </w:rPr>
            </w:pPr>
            <w:r w:rsidRPr="00BF294B">
              <w:rPr>
                <w:rFonts w:ascii="Verdana" w:eastAsia="Times New Roman" w:hAnsi="Verdana" w:cs="Times New Roman"/>
                <w:b/>
                <w:bCs/>
                <w:color w:val="FF0000"/>
                <w:sz w:val="20"/>
                <w:szCs w:val="20"/>
                <w:lang w:eastAsia="tr-TR"/>
              </w:rPr>
              <w:t>DESTEKLENMESİ HAKKINDA TEBLİĞ</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b/>
                <w:bCs/>
                <w:sz w:val="20"/>
                <w:szCs w:val="20"/>
                <w:lang w:eastAsia="tr-TR"/>
              </w:rPr>
              <w:t>Amaç ve kapsam</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b/>
                <w:bCs/>
                <w:sz w:val="20"/>
                <w:szCs w:val="20"/>
                <w:lang w:eastAsia="tr-TR"/>
              </w:rPr>
              <w:t>MADDE 1 – </w:t>
            </w:r>
            <w:r w:rsidRPr="00BF294B">
              <w:rPr>
                <w:rFonts w:ascii="Verdana" w:eastAsia="Times New Roman" w:hAnsi="Verdana" w:cs="Times New Roman"/>
                <w:sz w:val="20"/>
                <w:szCs w:val="20"/>
                <w:lang w:eastAsia="tr-TR"/>
              </w:rPr>
              <w:t>(1) Bu Tebliğin amacı, kamu kurum ve kuruluşları hariç olmak üzere ondan az çalışanı bulunan tehlikeli ve çok tehlikeli sınıfta yer alan işyerlerine, </w:t>
            </w:r>
            <w:proofErr w:type="gramStart"/>
            <w:r w:rsidRPr="00BF294B">
              <w:rPr>
                <w:rFonts w:ascii="Verdana" w:eastAsia="Times New Roman" w:hAnsi="Verdana" w:cs="Times New Roman"/>
                <w:sz w:val="20"/>
                <w:szCs w:val="20"/>
                <w:lang w:eastAsia="tr-TR"/>
              </w:rPr>
              <w:t>20/6/2012</w:t>
            </w:r>
            <w:proofErr w:type="gramEnd"/>
            <w:r w:rsidRPr="00BF294B">
              <w:rPr>
                <w:rFonts w:ascii="Verdana" w:eastAsia="Times New Roman" w:hAnsi="Verdana" w:cs="Times New Roman"/>
                <w:sz w:val="20"/>
                <w:szCs w:val="20"/>
                <w:lang w:eastAsia="tr-TR"/>
              </w:rPr>
              <w:t> tarihli ve 6331 sayılı İş Sağlığı ve Güvenliği Kanununun 7nci maddesi gereğince sağlanacak desteklerin ödenme usul ve esaslarını düzenlemektir.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b/>
                <w:bCs/>
                <w:sz w:val="20"/>
                <w:szCs w:val="20"/>
                <w:lang w:eastAsia="tr-TR"/>
              </w:rPr>
              <w:t>Dayanak</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b/>
                <w:bCs/>
                <w:sz w:val="20"/>
                <w:szCs w:val="20"/>
                <w:lang w:eastAsia="tr-TR"/>
              </w:rPr>
              <w:t>MADDE 2 – </w:t>
            </w:r>
            <w:r w:rsidRPr="00BF294B">
              <w:rPr>
                <w:rFonts w:ascii="Verdana" w:eastAsia="Times New Roman" w:hAnsi="Verdana" w:cs="Times New Roman"/>
                <w:sz w:val="20"/>
                <w:szCs w:val="20"/>
                <w:lang w:eastAsia="tr-TR"/>
              </w:rPr>
              <w:t>(1) Bu Tebliğ, 6331 sayılı İş Sağlığı ve Güvenliği Kanununun 7 </w:t>
            </w:r>
            <w:proofErr w:type="spellStart"/>
            <w:r w:rsidRPr="00BF294B">
              <w:rPr>
                <w:rFonts w:ascii="Verdana" w:eastAsia="Times New Roman" w:hAnsi="Verdana" w:cs="Times New Roman"/>
                <w:sz w:val="20"/>
                <w:szCs w:val="20"/>
                <w:lang w:eastAsia="tr-TR"/>
              </w:rPr>
              <w:t>nci</w:t>
            </w:r>
            <w:proofErr w:type="spellEnd"/>
            <w:r w:rsidRPr="00BF294B">
              <w:rPr>
                <w:rFonts w:ascii="Verdana" w:eastAsia="Times New Roman" w:hAnsi="Verdana" w:cs="Times New Roman"/>
                <w:sz w:val="20"/>
                <w:szCs w:val="20"/>
                <w:lang w:eastAsia="tr-TR"/>
              </w:rPr>
              <w:t> maddesi ile </w:t>
            </w:r>
            <w:proofErr w:type="gramStart"/>
            <w:r w:rsidRPr="00BF294B">
              <w:rPr>
                <w:rFonts w:ascii="Verdana" w:eastAsia="Times New Roman" w:hAnsi="Verdana" w:cs="Times New Roman"/>
                <w:sz w:val="20"/>
                <w:szCs w:val="20"/>
                <w:lang w:eastAsia="tr-TR"/>
              </w:rPr>
              <w:t>24/12/2013</w:t>
            </w:r>
            <w:proofErr w:type="gramEnd"/>
            <w:r w:rsidRPr="00BF294B">
              <w:rPr>
                <w:rFonts w:ascii="Verdana" w:eastAsia="Times New Roman" w:hAnsi="Verdana" w:cs="Times New Roman"/>
                <w:sz w:val="20"/>
                <w:szCs w:val="20"/>
                <w:lang w:eastAsia="tr-TR"/>
              </w:rPr>
              <w:t xml:space="preserve"> tarihli ve 28861 sayılı Resmî </w:t>
            </w:r>
            <w:proofErr w:type="spellStart"/>
            <w:r w:rsidRPr="00BF294B">
              <w:rPr>
                <w:rFonts w:ascii="Verdana" w:eastAsia="Times New Roman" w:hAnsi="Verdana" w:cs="Times New Roman"/>
                <w:sz w:val="20"/>
                <w:szCs w:val="20"/>
                <w:lang w:eastAsia="tr-TR"/>
              </w:rPr>
              <w:t>Gazete’de</w:t>
            </w:r>
            <w:proofErr w:type="spellEnd"/>
            <w:r w:rsidRPr="00BF294B">
              <w:rPr>
                <w:rFonts w:ascii="Verdana" w:eastAsia="Times New Roman" w:hAnsi="Verdana" w:cs="Times New Roman"/>
                <w:sz w:val="20"/>
                <w:szCs w:val="20"/>
                <w:lang w:eastAsia="tr-TR"/>
              </w:rPr>
              <w:t xml:space="preserve"> yayımlanan İş Sağlığı ve Güvenliği Hizmetlerinin Desteklenmesi Hakkında Yönetmeliğin 6 </w:t>
            </w:r>
            <w:proofErr w:type="spellStart"/>
            <w:r w:rsidRPr="00BF294B">
              <w:rPr>
                <w:rFonts w:ascii="Verdana" w:eastAsia="Times New Roman" w:hAnsi="Verdana" w:cs="Times New Roman"/>
                <w:sz w:val="20"/>
                <w:szCs w:val="20"/>
                <w:lang w:eastAsia="tr-TR"/>
              </w:rPr>
              <w:t>ncı</w:t>
            </w:r>
            <w:proofErr w:type="spellEnd"/>
            <w:r w:rsidRPr="00BF294B">
              <w:rPr>
                <w:rFonts w:ascii="Verdana" w:eastAsia="Times New Roman" w:hAnsi="Verdana" w:cs="Times New Roman"/>
                <w:sz w:val="20"/>
                <w:szCs w:val="20"/>
                <w:lang w:eastAsia="tr-TR"/>
              </w:rPr>
              <w:t> maddesine dayanılarak hazırlanmıştır.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b/>
                <w:bCs/>
                <w:sz w:val="20"/>
                <w:szCs w:val="20"/>
                <w:lang w:eastAsia="tr-TR"/>
              </w:rPr>
              <w:t>Tanımlar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b/>
                <w:bCs/>
                <w:sz w:val="20"/>
                <w:szCs w:val="20"/>
                <w:lang w:eastAsia="tr-TR"/>
              </w:rPr>
              <w:t>MADDE 3 – </w:t>
            </w:r>
            <w:r w:rsidRPr="00BF294B">
              <w:rPr>
                <w:rFonts w:ascii="Verdana" w:eastAsia="Times New Roman" w:hAnsi="Verdana" w:cs="Times New Roman"/>
                <w:sz w:val="20"/>
                <w:szCs w:val="20"/>
                <w:lang w:eastAsia="tr-TR"/>
              </w:rPr>
              <w:t>(1) Bu Tebliğde geçen;</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a) İSG-</w:t>
            </w:r>
            <w:proofErr w:type="gramStart"/>
            <w:r w:rsidRPr="00BF294B">
              <w:rPr>
                <w:rFonts w:ascii="Verdana" w:eastAsia="Times New Roman" w:hAnsi="Verdana" w:cs="Times New Roman"/>
                <w:sz w:val="20"/>
                <w:szCs w:val="20"/>
                <w:lang w:eastAsia="tr-TR"/>
              </w:rPr>
              <w:t>KATİP</w:t>
            </w:r>
            <w:proofErr w:type="gramEnd"/>
            <w:r w:rsidRPr="00BF294B">
              <w:rPr>
                <w:rFonts w:ascii="Verdana" w:eastAsia="Times New Roman" w:hAnsi="Verdana" w:cs="Times New Roman"/>
                <w:sz w:val="20"/>
                <w:szCs w:val="20"/>
                <w:lang w:eastAsia="tr-TR"/>
              </w:rPr>
              <w:t>: İş sağlığı ve güvenliği hizmetleri ile ilgili iş ve işlemlerin Çalışma ve Sosyal Güvenlik Bakanlığınca kayıt, takip ve izlenmesi amacıyla kullanılan İş Sağlığı ve Güvenliği Kayıt, Takip ve İzleme Programını,</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b) İSG profesyonelleri: İş güvenliği uzmanı, işyeri hekimi ile diğer sağlık personelini,</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c) Kurum: Sosyal Güvenlik Kurumunu,</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ç) MOSİP Sistemi: Kurumun mali işlemlerinin kayıt ve takibi amacıyla kullanılan Mali Yönetim Otomasyon Sistemini,</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d) Ünite: Sosyal güvenlik il müdürlüklerini/Sosyal güvenlik merkezlerini,</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proofErr w:type="gramStart"/>
            <w:r w:rsidRPr="00BF294B">
              <w:rPr>
                <w:rFonts w:ascii="Verdana" w:eastAsia="Times New Roman" w:hAnsi="Verdana" w:cs="Times New Roman"/>
                <w:sz w:val="20"/>
                <w:szCs w:val="20"/>
                <w:lang w:eastAsia="tr-TR"/>
              </w:rPr>
              <w:t>ifade</w:t>
            </w:r>
            <w:proofErr w:type="gramEnd"/>
            <w:r w:rsidRPr="00BF294B">
              <w:rPr>
                <w:rFonts w:ascii="Verdana" w:eastAsia="Times New Roman" w:hAnsi="Verdana" w:cs="Times New Roman"/>
                <w:sz w:val="20"/>
                <w:szCs w:val="20"/>
                <w:lang w:eastAsia="tr-TR"/>
              </w:rPr>
              <w:t> eder.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b/>
                <w:bCs/>
                <w:sz w:val="20"/>
                <w:szCs w:val="20"/>
                <w:lang w:eastAsia="tr-TR"/>
              </w:rPr>
              <w:t>Destek başvurusu ve başvuruların değerlendirilmesi</w:t>
            </w:r>
          </w:p>
          <w:p w:rsid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b/>
                <w:bCs/>
                <w:sz w:val="20"/>
                <w:szCs w:val="20"/>
                <w:lang w:eastAsia="tr-TR"/>
              </w:rPr>
              <w:t>MADDE 4 – </w:t>
            </w:r>
            <w:r w:rsidRPr="00BF294B">
              <w:rPr>
                <w:rFonts w:ascii="Verdana" w:eastAsia="Times New Roman" w:hAnsi="Verdana" w:cs="Times New Roman"/>
                <w:sz w:val="20"/>
                <w:szCs w:val="20"/>
                <w:lang w:eastAsia="tr-TR"/>
              </w:rPr>
              <w:t>(1) Tehlikeli ve çok tehlikeli sınıfta yer alan işyerlerine sahip işverenler, iş sağlığı ve güvenliği desteğinden yararlanmak için işyerlerinin tescil edildiği ünitelere ek-1’de belirtilen başvuru formu ile müracaat ederler. Aynı işverenin Türkiye genelinde birden fazla tescilli işyerinin bulunması halinde müracaat, tehlikeli ve çok tehlikeli sınıfta yer alan işyerleri başvuru formunda ayrı ayrı belirtilmek suretiyle işverenin merkez işyerinin tescilli olduğu ünitelere yapılır.</w:t>
            </w:r>
          </w:p>
          <w:p w:rsidR="00BF294B" w:rsidRPr="00BF294B" w:rsidRDefault="00BF294B" w:rsidP="00BF294B">
            <w:pPr>
              <w:spacing w:before="100" w:beforeAutospacing="1" w:after="100" w:afterAutospacing="1" w:line="240" w:lineRule="atLeast"/>
              <w:rPr>
                <w:rFonts w:ascii="Verdana" w:eastAsia="Times New Roman" w:hAnsi="Verdana" w:cs="Times New Roman"/>
                <w:sz w:val="20"/>
                <w:szCs w:val="20"/>
                <w:lang w:eastAsia="tr-TR"/>
              </w:rPr>
            </w:pP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lastRenderedPageBreak/>
              <w:t>(2) Başvuru formunda tehlikeli ve çok tehlikeli sınıfta yer alan işyerleri için ayrı ayrı olacak şekilde destekten yararlanmak istenilen işyerlerine ait işyeri sicil numaraları ile ödemenin yapılacağı banka hesap numarası (IBAN) belirtilir.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(3) İşverenin başvurusunda belirttiği işyerlerinin dışında, Türkiye genelinde aynı işverene ait diğer işyerleri de tehlikeli ve çok tehlikeli sınıfta yer alan işyerleri için ayrı ayrı tespit edilerek, iş sağlığı ve güvenliği desteği verilecek işveren kapsamına girip girmediği ünitelerce belirlenir. Yapılacak sorgulama neticesinde ünitelerce tespit edilen işyerlerinden bildirilen sigortalı sayısı da dikkate alınarak işlem yapılır.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(4) Destek ödemelerine ilişkin başvurular;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a) Ocak, şubat ve mart ayları için nisan ayının,</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b) Nisan, mayıs ve haziran ayları için temmuz ayının,</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c) Temmuz, ağustos ve eylül ayları için ekim ayının,</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ç) Ekim, kasım ve aralık ayları için izleyen yılın ocak ayının,</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proofErr w:type="gramStart"/>
            <w:r w:rsidRPr="00BF294B">
              <w:rPr>
                <w:rFonts w:ascii="Verdana" w:eastAsia="Times New Roman" w:hAnsi="Verdana" w:cs="Times New Roman"/>
                <w:sz w:val="20"/>
                <w:szCs w:val="20"/>
                <w:lang w:eastAsia="tr-TR"/>
              </w:rPr>
              <w:t>sonuna</w:t>
            </w:r>
            <w:proofErr w:type="gramEnd"/>
            <w:r w:rsidRPr="00BF294B">
              <w:rPr>
                <w:rFonts w:ascii="Verdana" w:eastAsia="Times New Roman" w:hAnsi="Verdana" w:cs="Times New Roman"/>
                <w:sz w:val="20"/>
                <w:szCs w:val="20"/>
                <w:lang w:eastAsia="tr-TR"/>
              </w:rPr>
              <w:t> kadar yapılır.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(5) İşyerindeki sigortalı sayısı belirlenirken toplam çalışan sayısında aşağıdakiler dikkate alınmaz:</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a) </w:t>
            </w:r>
            <w:proofErr w:type="gramStart"/>
            <w:r w:rsidRPr="00BF294B">
              <w:rPr>
                <w:rFonts w:ascii="Verdana" w:eastAsia="Times New Roman" w:hAnsi="Verdana" w:cs="Times New Roman"/>
                <w:sz w:val="20"/>
                <w:szCs w:val="20"/>
                <w:lang w:eastAsia="tr-TR"/>
              </w:rPr>
              <w:t>5/6/1986</w:t>
            </w:r>
            <w:proofErr w:type="gramEnd"/>
            <w:r w:rsidRPr="00BF294B">
              <w:rPr>
                <w:rFonts w:ascii="Verdana" w:eastAsia="Times New Roman" w:hAnsi="Verdana" w:cs="Times New Roman"/>
                <w:sz w:val="20"/>
                <w:szCs w:val="20"/>
                <w:lang w:eastAsia="tr-TR"/>
              </w:rPr>
              <w:t> tarihli ve 3308 sayılı Mesleki Eğitim Kanunu ile 4/11/1981 tarihli ve 2547 sayılı Yükseköğretim Kanunu kapsamındaki öğrenci statüsünde olan aday çırak, çırak ve işletmelerde mesleki eğitim gören öğrenciler.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b) İşyeri dışından hizmet alınan kısmi süreli İSG profesyonelleri.</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b/>
                <w:bCs/>
                <w:sz w:val="20"/>
                <w:szCs w:val="20"/>
                <w:lang w:eastAsia="tr-TR"/>
              </w:rPr>
              <w:t>Başvuruların üniteler tarafından MOSİP Sistemine kaydedilmesi</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b/>
                <w:bCs/>
                <w:sz w:val="20"/>
                <w:szCs w:val="20"/>
                <w:lang w:eastAsia="tr-TR"/>
              </w:rPr>
              <w:t>MADDE 5 – </w:t>
            </w:r>
            <w:r w:rsidRPr="00BF294B">
              <w:rPr>
                <w:rFonts w:ascii="Verdana" w:eastAsia="Times New Roman" w:hAnsi="Verdana" w:cs="Times New Roman"/>
                <w:sz w:val="20"/>
                <w:szCs w:val="20"/>
                <w:lang w:eastAsia="tr-TR"/>
              </w:rPr>
              <w:t>(1) Başvurular, ünitece MOSİP Sisteminde kayıt altına alınır. Kayıt işlemi, MOSİP Sistemindeki ilgili menüden işverenin vergi kimlik numarası altında, sahip olduğu işyerlerinin sicil numaralarının girilmesi suretiyle yapılır. Dilekçe ve ekleri bir dosyada muhafaza edilir.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(2) Müracaatların MOSİP Sistemine kaydedilmesi sırasında söz konusu Sistem, bildirilen işyerleri için iş sağlığı ve güvenliği hizmetlerinin sağlanmasına ilişkin geçerli bir sözleşmenin olup olmadığı veya işyerinden veya dışından birinin görevlendirilip görevlendirilmediği İSG-</w:t>
            </w:r>
            <w:proofErr w:type="gramStart"/>
            <w:r w:rsidRPr="00BF294B">
              <w:rPr>
                <w:rFonts w:ascii="Verdana" w:eastAsia="Times New Roman" w:hAnsi="Verdana" w:cs="Times New Roman"/>
                <w:sz w:val="20"/>
                <w:szCs w:val="20"/>
                <w:lang w:eastAsia="tr-TR"/>
              </w:rPr>
              <w:t>KATİP</w:t>
            </w:r>
            <w:proofErr w:type="gramEnd"/>
            <w:r w:rsidRPr="00BF294B">
              <w:rPr>
                <w:rFonts w:ascii="Verdana" w:eastAsia="Times New Roman" w:hAnsi="Verdana" w:cs="Times New Roman"/>
                <w:sz w:val="20"/>
                <w:szCs w:val="20"/>
                <w:lang w:eastAsia="tr-TR"/>
              </w:rPr>
              <w:t> uygulamasında kontrol eder. Geçerli bir sözleşme veya bir görevlendirme olmayan işyerleri için sisteme kayıt yapılmasına izin verilmez.</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b/>
                <w:bCs/>
                <w:sz w:val="20"/>
                <w:szCs w:val="20"/>
                <w:lang w:eastAsia="tr-TR"/>
              </w:rPr>
              <w:t>Destek ödeme dönemleri</w:t>
            </w:r>
          </w:p>
          <w:p w:rsid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b/>
                <w:bCs/>
                <w:sz w:val="20"/>
                <w:szCs w:val="20"/>
                <w:lang w:eastAsia="tr-TR"/>
              </w:rPr>
              <w:t>MADDE 6 – </w:t>
            </w:r>
            <w:r w:rsidRPr="00BF294B">
              <w:rPr>
                <w:rFonts w:ascii="Verdana" w:eastAsia="Times New Roman" w:hAnsi="Verdana" w:cs="Times New Roman"/>
                <w:sz w:val="20"/>
                <w:szCs w:val="20"/>
                <w:lang w:eastAsia="tr-TR"/>
              </w:rPr>
              <w:t>(1) İşverenin çalıştırdığı sigortalılara ilişkin aylık prim ve hizmet belgelerinin yasal süresi içerisinde kuruma verilmiş olması ve kuruma destek ödemesinin yapıldığı tarih itibariyle Türkiye genelinde prim ve prime ilişkin borcun bulunmaması şartıyla;</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lastRenderedPageBreak/>
              <w:t>a) Birinci dönem destek ödemeleri ocak, şubat ve mart ayları için mayıs ayının sonunda,</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b) İkinci dönem destek ödemeleri nisan, mayıs ve haziran ayları için ağustos ayının sonunda,</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c) Üçüncü dönem destek ödemeleri temmuz, ağustos ve eylül ayları için kasım ayının sonunda,</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ç) Dördüncü dönem destek ödemeleri ekim, kasım ve aralık ayları için izleyen yılın şubat ayının sonunda,</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proofErr w:type="gramStart"/>
            <w:r w:rsidRPr="00BF294B">
              <w:rPr>
                <w:rFonts w:ascii="Verdana" w:eastAsia="Times New Roman" w:hAnsi="Verdana" w:cs="Times New Roman"/>
                <w:sz w:val="20"/>
                <w:szCs w:val="20"/>
                <w:lang w:eastAsia="tr-TR"/>
              </w:rPr>
              <w:t>gerçekleştirilir</w:t>
            </w:r>
            <w:proofErr w:type="gramEnd"/>
            <w:r w:rsidRPr="00BF294B">
              <w:rPr>
                <w:rFonts w:ascii="Verdana" w:eastAsia="Times New Roman" w:hAnsi="Verdana" w:cs="Times New Roman"/>
                <w:sz w:val="20"/>
                <w:szCs w:val="20"/>
                <w:lang w:eastAsia="tr-TR"/>
              </w:rPr>
              <w:t>.</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(2) Kuruma yasal süresi içerisinde ödenmemiş prim ve prime ilişkin borcun bulunması halinde,7 </w:t>
            </w:r>
            <w:proofErr w:type="spellStart"/>
            <w:r w:rsidRPr="00BF294B">
              <w:rPr>
                <w:rFonts w:ascii="Verdana" w:eastAsia="Times New Roman" w:hAnsi="Verdana" w:cs="Times New Roman"/>
                <w:sz w:val="20"/>
                <w:szCs w:val="20"/>
                <w:lang w:eastAsia="tr-TR"/>
              </w:rPr>
              <w:t>nci</w:t>
            </w:r>
            <w:proofErr w:type="spellEnd"/>
            <w:r w:rsidRPr="00BF294B">
              <w:rPr>
                <w:rFonts w:ascii="Verdana" w:eastAsia="Times New Roman" w:hAnsi="Verdana" w:cs="Times New Roman"/>
                <w:sz w:val="20"/>
                <w:szCs w:val="20"/>
                <w:lang w:eastAsia="tr-TR"/>
              </w:rPr>
              <w:t> maddeye göre hesaplanan destek tutarı, bu borca mahsup edilir.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(3) Üçer aylık dönemler içinde her bir aya ilişkin aylık prim ve hizmet belgesi ile bildirilen toplam sigortalı sayısı esas alınarak hak edilen her bir ay için destek ödemesi hesaplanarak bu madde de belirtilen sürede destek ödemesi yapılır.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(4) Ayın son gününün resmi tatile rastlaması halinde destek ödemeleri resmi tatili izleyen ilk işgünü yapılır.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(5) İşveren tarafından geriye yönelik üçer aylık dönemler için talepte bulunulması halinde, talebin yapıldığı aya ilişkin üçer aylık dönemi takip eden ikinci ayın sonunda destek ödemesi yapılır.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b/>
                <w:bCs/>
                <w:sz w:val="20"/>
                <w:szCs w:val="20"/>
                <w:lang w:eastAsia="tr-TR"/>
              </w:rPr>
              <w:t>Yansıtma faturasının düzenlenmesi</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b/>
                <w:bCs/>
                <w:sz w:val="20"/>
                <w:szCs w:val="20"/>
                <w:lang w:eastAsia="tr-TR"/>
              </w:rPr>
              <w:t>MADDE 7 – </w:t>
            </w:r>
            <w:r w:rsidRPr="00BF294B">
              <w:rPr>
                <w:rFonts w:ascii="Verdana" w:eastAsia="Times New Roman" w:hAnsi="Verdana" w:cs="Times New Roman"/>
                <w:sz w:val="20"/>
                <w:szCs w:val="20"/>
                <w:lang w:eastAsia="tr-TR"/>
              </w:rPr>
              <w:t>(1) İşverenler destek ödemelerini almak için Kurum adına tehlikeli ve çok tehlikeli işyerleri için tek bir yansıtma faturası düzenlerler. Düzenlenecek yansıtma faturalarında Kurumun vergi numarası olarak Hitit Vergi Dairesi Müdürlüğü </w:t>
            </w:r>
            <w:proofErr w:type="gramStart"/>
            <w:r w:rsidRPr="00BF294B">
              <w:rPr>
                <w:rFonts w:ascii="Verdana" w:eastAsia="Times New Roman" w:hAnsi="Verdana" w:cs="Times New Roman"/>
                <w:sz w:val="20"/>
                <w:szCs w:val="20"/>
                <w:lang w:eastAsia="tr-TR"/>
              </w:rPr>
              <w:t>7750409379</w:t>
            </w:r>
            <w:proofErr w:type="gramEnd"/>
            <w:r w:rsidRPr="00BF294B">
              <w:rPr>
                <w:rFonts w:ascii="Verdana" w:eastAsia="Times New Roman" w:hAnsi="Verdana" w:cs="Times New Roman"/>
                <w:sz w:val="20"/>
                <w:szCs w:val="20"/>
                <w:lang w:eastAsia="tr-TR"/>
              </w:rPr>
              <w:t> vergi numarası kullanılır.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(2) Yansıtma faturalarında iş sağlığı ve iş güvenliği destek tutarlarını tehlikeli ve çok tehlikeli işyerleri için ödenecek destek tutarları ayrı ayrı gösterilir.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(3) İş sağlığı ve güvenliği hizmetleri için sağlanacak destek tutarı, ilgili ayda geçerli prime esas günlük kazanç alt sınır üzerinden aşağıda belirtildiği şekilde hesaplanır: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a) Ödeme döneminin kapsadığı her bir ay için, prime esas günlük kazanç alt sınırına tehlikeli işyerleri için %1,4 oranı, çok tehlikeli işyerleri için %1,6 oranı uygulanarak, her bir sigortalı için ödenecek desteğin günlük tutarı hesaplanır.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b) Ödeme döneminin kapsadığı her bir ay için, sigortalılara ilişkin Kuruma aylık prim ve hizmet belgesi ile bildirilen prim ödeme gün sayısı, (a) bendine göre hesaplanan tutar ile çarpılarak ödenecek destek tutarı bulunur.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c) (a) ve (b) bentlerine göre yapılacak hesaplamalar, ödeme döneminin kapsadığı her bir ay için ayrı ayrı yapılır. Her bir ay için hesaplanan tutarlar toplanır ve yansıtma faturasında “iş sağlığı ve güvenliği hizmet bedeli” olarak gösterilir.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lastRenderedPageBreak/>
              <w:t>(4) Üçüncü fıkraya göre her bir ay ve her bir işyeri için ayrı ayrı hesaplanacak tutarlar, tehlike sınıfına göre toplanarak toplam destek tutarı bulunur. Toplam tutara KDV uygulanarak fatura toplamı bulunur.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b/>
                <w:bCs/>
                <w:sz w:val="20"/>
                <w:szCs w:val="20"/>
                <w:lang w:eastAsia="tr-TR"/>
              </w:rPr>
              <w:t>Yansıtma faturalarının Kuruma verilmesi</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b/>
                <w:bCs/>
                <w:sz w:val="20"/>
                <w:szCs w:val="20"/>
                <w:lang w:eastAsia="tr-TR"/>
              </w:rPr>
              <w:t>MADDE 8 – </w:t>
            </w:r>
            <w:r w:rsidRPr="00BF294B">
              <w:rPr>
                <w:rFonts w:ascii="Verdana" w:eastAsia="Times New Roman" w:hAnsi="Verdana" w:cs="Times New Roman"/>
                <w:sz w:val="20"/>
                <w:szCs w:val="20"/>
                <w:lang w:eastAsia="tr-TR"/>
              </w:rPr>
              <w:t>(1) İşverenler yansıtma faturalarını, ilgili olduğu dönem için 6 </w:t>
            </w:r>
            <w:proofErr w:type="spellStart"/>
            <w:r w:rsidRPr="00BF294B">
              <w:rPr>
                <w:rFonts w:ascii="Verdana" w:eastAsia="Times New Roman" w:hAnsi="Verdana" w:cs="Times New Roman"/>
                <w:sz w:val="20"/>
                <w:szCs w:val="20"/>
                <w:lang w:eastAsia="tr-TR"/>
              </w:rPr>
              <w:t>ncı</w:t>
            </w:r>
            <w:proofErr w:type="spellEnd"/>
            <w:r w:rsidRPr="00BF294B">
              <w:rPr>
                <w:rFonts w:ascii="Verdana" w:eastAsia="Times New Roman" w:hAnsi="Verdana" w:cs="Times New Roman"/>
                <w:sz w:val="20"/>
                <w:szCs w:val="20"/>
                <w:lang w:eastAsia="tr-TR"/>
              </w:rPr>
              <w:t> maddede belirtilen ödeme ayının 10’una kadar, ek-2’de belirtilen dilekçe örneği ile destek müracaatında bulundukları ünitelere iletirler.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b/>
                <w:bCs/>
                <w:sz w:val="20"/>
                <w:szCs w:val="20"/>
                <w:lang w:eastAsia="tr-TR"/>
              </w:rPr>
              <w:t>Yürürlük</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b/>
                <w:bCs/>
                <w:sz w:val="20"/>
                <w:szCs w:val="20"/>
                <w:lang w:eastAsia="tr-TR"/>
              </w:rPr>
              <w:t>MADDE 9 – </w:t>
            </w:r>
            <w:r w:rsidRPr="00BF294B">
              <w:rPr>
                <w:rFonts w:ascii="Verdana" w:eastAsia="Times New Roman" w:hAnsi="Verdana" w:cs="Times New Roman"/>
                <w:sz w:val="20"/>
                <w:szCs w:val="20"/>
                <w:lang w:eastAsia="tr-TR"/>
              </w:rPr>
              <w:t>(1) Bu Tebliğ </w:t>
            </w:r>
            <w:proofErr w:type="gramStart"/>
            <w:r w:rsidRPr="00BF294B">
              <w:rPr>
                <w:rFonts w:ascii="Verdana" w:eastAsia="Times New Roman" w:hAnsi="Verdana" w:cs="Times New Roman"/>
                <w:sz w:val="20"/>
                <w:szCs w:val="20"/>
                <w:lang w:eastAsia="tr-TR"/>
              </w:rPr>
              <w:t>1/1/2014</w:t>
            </w:r>
            <w:proofErr w:type="gramEnd"/>
            <w:r w:rsidRPr="00BF294B">
              <w:rPr>
                <w:rFonts w:ascii="Verdana" w:eastAsia="Times New Roman" w:hAnsi="Verdana" w:cs="Times New Roman"/>
                <w:sz w:val="20"/>
                <w:szCs w:val="20"/>
                <w:lang w:eastAsia="tr-TR"/>
              </w:rPr>
              <w:t> tarihinden geçerli olmak üzere yayımı tarihinde yürürlüğe girer.</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b/>
                <w:bCs/>
                <w:sz w:val="20"/>
                <w:szCs w:val="20"/>
                <w:lang w:eastAsia="tr-TR"/>
              </w:rPr>
              <w:t>Yürütme</w:t>
            </w:r>
          </w:p>
          <w:p w:rsidR="00BF294B" w:rsidRPr="00BF294B" w:rsidRDefault="00BF294B" w:rsidP="00BF294B">
            <w:pPr>
              <w:spacing w:before="100" w:beforeAutospacing="1" w:after="100" w:afterAutospacing="1" w:line="240" w:lineRule="atLeast"/>
              <w:ind w:firstLine="566"/>
              <w:rPr>
                <w:rFonts w:ascii="Verdana" w:eastAsia="Times New Roman" w:hAnsi="Verdana" w:cs="Times New Roman"/>
                <w:sz w:val="20"/>
                <w:szCs w:val="20"/>
                <w:lang w:eastAsia="tr-TR"/>
              </w:rPr>
            </w:pPr>
            <w:r w:rsidRPr="00BF294B">
              <w:rPr>
                <w:rFonts w:ascii="Verdana" w:eastAsia="Times New Roman" w:hAnsi="Verdana" w:cs="Times New Roman"/>
                <w:b/>
                <w:bCs/>
                <w:sz w:val="20"/>
                <w:szCs w:val="20"/>
                <w:lang w:eastAsia="tr-TR"/>
              </w:rPr>
              <w:t>MADDE 10 – </w:t>
            </w:r>
            <w:r w:rsidRPr="00BF294B">
              <w:rPr>
                <w:rFonts w:ascii="Verdana" w:eastAsia="Times New Roman" w:hAnsi="Verdana" w:cs="Times New Roman"/>
                <w:sz w:val="20"/>
                <w:szCs w:val="20"/>
                <w:lang w:eastAsia="tr-TR"/>
              </w:rPr>
              <w:t>(1) Bu Tebliğ hükümlerini Çalışma ve Sosyal Güvenlik Bakanı yürütür.</w:t>
            </w:r>
          </w:p>
          <w:p w:rsidR="00BF294B" w:rsidRPr="00BF294B" w:rsidRDefault="00BF294B" w:rsidP="00BF294B">
            <w:pPr>
              <w:spacing w:before="100" w:beforeAutospacing="1" w:after="100" w:afterAutospacing="1" w:line="240" w:lineRule="atLeast"/>
              <w:jc w:val="center"/>
              <w:rPr>
                <w:rFonts w:ascii="Verdana" w:eastAsia="Times New Roman" w:hAnsi="Verdana" w:cs="Times New Roman"/>
                <w:sz w:val="20"/>
                <w:szCs w:val="20"/>
                <w:lang w:eastAsia="tr-TR"/>
              </w:rPr>
            </w:pPr>
            <w:r w:rsidRPr="00BF294B">
              <w:rPr>
                <w:rFonts w:ascii="Verdana" w:eastAsia="Times New Roman" w:hAnsi="Verdana" w:cs="Times New Roman"/>
                <w:sz w:val="20"/>
                <w:szCs w:val="20"/>
                <w:lang w:eastAsia="tr-TR"/>
              </w:rPr>
              <w:t> </w:t>
            </w:r>
          </w:p>
        </w:tc>
      </w:tr>
    </w:tbl>
    <w:p w:rsidR="00DB7521" w:rsidRPr="00BF294B" w:rsidRDefault="000A2BA9">
      <w:pPr>
        <w:rPr>
          <w:rFonts w:ascii="Verdana" w:hAnsi="Verdana"/>
          <w:sz w:val="20"/>
          <w:szCs w:val="20"/>
        </w:rPr>
      </w:pPr>
      <w:hyperlink r:id="rId5" w:history="1">
        <w:r w:rsidRPr="000A2BA9">
          <w:rPr>
            <w:rStyle w:val="Kpr"/>
            <w:rFonts w:ascii="Verdana" w:hAnsi="Verdana"/>
            <w:sz w:val="20"/>
            <w:szCs w:val="20"/>
          </w:rPr>
          <w:t xml:space="preserve">Ekleri için </w:t>
        </w:r>
        <w:proofErr w:type="gramStart"/>
        <w:r w:rsidRPr="000A2BA9">
          <w:rPr>
            <w:rStyle w:val="Kpr"/>
            <w:rFonts w:ascii="Verdana" w:hAnsi="Verdana"/>
            <w:sz w:val="20"/>
            <w:szCs w:val="20"/>
          </w:rPr>
          <w:t>Tıklayınız</w:t>
        </w:r>
        <w:proofErr w:type="gramEnd"/>
        <w:r w:rsidRPr="000A2BA9">
          <w:rPr>
            <w:rStyle w:val="Kpr"/>
            <w:rFonts w:ascii="Verdana" w:hAnsi="Verdana"/>
            <w:sz w:val="20"/>
            <w:szCs w:val="20"/>
          </w:rPr>
          <w:t>.</w:t>
        </w:r>
      </w:hyperlink>
      <w:bookmarkStart w:id="0" w:name="_GoBack"/>
      <w:bookmarkEnd w:id="0"/>
    </w:p>
    <w:sectPr w:rsidR="00DB7521" w:rsidRPr="00BF2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4B"/>
    <w:rsid w:val="000A2BA9"/>
    <w:rsid w:val="00BF294B"/>
    <w:rsid w:val="00DB75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F294B"/>
  </w:style>
  <w:style w:type="character" w:customStyle="1" w:styleId="grame">
    <w:name w:val="grame"/>
    <w:basedOn w:val="VarsaylanParagrafYazTipi"/>
    <w:rsid w:val="00BF294B"/>
  </w:style>
  <w:style w:type="paragraph" w:styleId="NormalWeb">
    <w:name w:val="Normal (Web)"/>
    <w:basedOn w:val="Normal"/>
    <w:uiPriority w:val="99"/>
    <w:unhideWhenUsed/>
    <w:rsid w:val="00BF29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F29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F294B"/>
  </w:style>
  <w:style w:type="character" w:customStyle="1" w:styleId="normal1">
    <w:name w:val="normal1"/>
    <w:basedOn w:val="VarsaylanParagrafYazTipi"/>
    <w:rsid w:val="00BF294B"/>
  </w:style>
  <w:style w:type="character" w:styleId="Kpr">
    <w:name w:val="Hyperlink"/>
    <w:basedOn w:val="VarsaylanParagrafYazTipi"/>
    <w:uiPriority w:val="99"/>
    <w:unhideWhenUsed/>
    <w:rsid w:val="000A2B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F294B"/>
  </w:style>
  <w:style w:type="character" w:customStyle="1" w:styleId="grame">
    <w:name w:val="grame"/>
    <w:basedOn w:val="VarsaylanParagrafYazTipi"/>
    <w:rsid w:val="00BF294B"/>
  </w:style>
  <w:style w:type="paragraph" w:styleId="NormalWeb">
    <w:name w:val="Normal (Web)"/>
    <w:basedOn w:val="Normal"/>
    <w:uiPriority w:val="99"/>
    <w:unhideWhenUsed/>
    <w:rsid w:val="00BF29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F29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F294B"/>
  </w:style>
  <w:style w:type="character" w:customStyle="1" w:styleId="normal1">
    <w:name w:val="normal1"/>
    <w:basedOn w:val="VarsaylanParagrafYazTipi"/>
    <w:rsid w:val="00BF294B"/>
  </w:style>
  <w:style w:type="character" w:styleId="Kpr">
    <w:name w:val="Hyperlink"/>
    <w:basedOn w:val="VarsaylanParagrafYazTipi"/>
    <w:uiPriority w:val="99"/>
    <w:unhideWhenUsed/>
    <w:rsid w:val="000A2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67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main.aspx?home=http://www.resmigazete.gov.tr/eskiler/2014/05/20140503.htm&amp;main=http://www.resmigazete.gov.tr/eskiler/2014/05/201405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6466</Characters>
  <Application>Microsoft Office Word</Application>
  <DocSecurity>0</DocSecurity>
  <Lines>53</Lines>
  <Paragraphs>15</Paragraphs>
  <ScaleCrop>false</ScaleCrop>
  <Company>Chetnix</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2014-05-03T06:09:00Z</dcterms:created>
  <dcterms:modified xsi:type="dcterms:W3CDTF">2014-05-03T06:11:00Z</dcterms:modified>
</cp:coreProperties>
</file>